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 Luis Gonzalez, Jonathan Hernandez, David Peno, Kendrick Crespo, Anjani Mogallur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11:00 am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11:30 am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Went Well: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Team communication remained strong and consistent during the critical transition from research to implementation.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All team members completed their research assignments and seamlessly progressed into initial prototyping tasks.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switch was executed with clearly defined task distribution based on technical strengths.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stand-ups maintained momentum and kept frontend/backend efforts aligned.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Several development tasks—such as backend parsers, mock UI, and graph generation prototypes—were launched without major blockers.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Early testing with sample documents and concept graphs helped validate feasibility of our architecture.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Could Be Improved: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 delays arose from incomplete environment setups, affecting initial development pacing.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Synchronization between frontend and backend could improve to prevent data structure mismatches.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Time estimates for third-party tool integration (e.g., OpenAI API, NetworkX) were slightly optimistic due to unexpected setup complexities.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Action Items for Next Sprint: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Prioritize full environment readiness and shared access to datasets/APIs at sprint start.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Schedule regular cross-functional syncs between frontend and backend for tighter coordination.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Finalize interface contracts (e.g., JSON schemas) to avoid data discrepancies.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Begin documenting version control strategies to preserve modularity and minimize merge issues.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Follow-up from Previous Retrospective: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Previous goals related to improving task ownership and active participation were successfully addressed.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demonstrated higher engagement and delivery quality in research assignments.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Focus for the upcoming sprint will shift toward sustaining this discipline through deeper integration and collaborative development.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